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472" w:rsidRPr="00023472" w:rsidRDefault="00023472" w:rsidP="00023472">
      <w:pPr>
        <w:spacing w:after="0" w:line="240" w:lineRule="auto"/>
        <w:rPr>
          <w:rFonts w:ascii="Arial" w:eastAsia="Times New Roman" w:hAnsi="Arial" w:cs="Arial"/>
          <w:color w:val="222222"/>
          <w:sz w:val="20"/>
          <w:szCs w:val="20"/>
        </w:rPr>
      </w:pPr>
    </w:p>
    <w:tbl>
      <w:tblPr>
        <w:tblW w:w="4245" w:type="dxa"/>
        <w:tblCellMar>
          <w:left w:w="0" w:type="dxa"/>
          <w:right w:w="0" w:type="dxa"/>
        </w:tblCellMar>
        <w:tblLook w:val="04A0"/>
      </w:tblPr>
      <w:tblGrid>
        <w:gridCol w:w="13"/>
        <w:gridCol w:w="12"/>
        <w:gridCol w:w="12"/>
        <w:gridCol w:w="12"/>
        <w:gridCol w:w="2802"/>
        <w:gridCol w:w="1394"/>
      </w:tblGrid>
      <w:tr w:rsidR="00023472" w:rsidRPr="00023472" w:rsidTr="00023472">
        <w:trPr>
          <w:trHeight w:val="195"/>
        </w:trPr>
        <w:tc>
          <w:tcPr>
            <w:tcW w:w="3195" w:type="dxa"/>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b/>
                <w:bCs/>
                <w:sz w:val="24"/>
                <w:szCs w:val="24"/>
              </w:rPr>
              <w:t>CORE 2011</w:t>
            </w:r>
          </w:p>
        </w:tc>
        <w:tc>
          <w:tcPr>
            <w:tcW w:w="1050" w:type="dxa"/>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Income/Expense Summary</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April through December 2011</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 - Dec '11</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Ordinary Income/Expense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u w:val="single"/>
              </w:rPr>
              <w:t>CORE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5,585.00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u w:val="single"/>
              </w:rPr>
              <w:t>Total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5,585.00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Gross Profit</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5,585.00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u w:val="single"/>
              </w:rPr>
              <w:t>CORE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19,861.18</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u w:val="single"/>
              </w:rPr>
              <w:t>Total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19,861.18</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Net Ordinary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-14,276.18</w:t>
            </w: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Net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-14,276.18</w:t>
            </w:r>
          </w:p>
        </w:tc>
      </w:tr>
    </w:tbl>
    <w:p w:rsidR="00023472" w:rsidRPr="00023472" w:rsidRDefault="00023472" w:rsidP="00023472">
      <w:pPr>
        <w:spacing w:after="0" w:line="240" w:lineRule="auto"/>
        <w:rPr>
          <w:rFonts w:ascii="Arial" w:eastAsia="Times New Roman" w:hAnsi="Arial" w:cs="Arial"/>
          <w:color w:val="222222"/>
          <w:sz w:val="20"/>
          <w:szCs w:val="20"/>
        </w:rPr>
      </w:pPr>
    </w:p>
    <w:p w:rsidR="00023472" w:rsidRPr="00023472" w:rsidRDefault="00023472" w:rsidP="00023472">
      <w:pPr>
        <w:spacing w:after="0" w:line="240" w:lineRule="auto"/>
        <w:rPr>
          <w:rFonts w:ascii="Arial" w:eastAsia="Times New Roman" w:hAnsi="Arial" w:cs="Arial"/>
          <w:color w:val="222222"/>
          <w:sz w:val="20"/>
          <w:szCs w:val="20"/>
        </w:rPr>
      </w:pPr>
    </w:p>
    <w:tbl>
      <w:tblPr>
        <w:tblW w:w="5040" w:type="dxa"/>
        <w:tblCellMar>
          <w:left w:w="0" w:type="dxa"/>
          <w:right w:w="0" w:type="dxa"/>
        </w:tblCellMar>
        <w:tblLook w:val="04A0"/>
      </w:tblPr>
      <w:tblGrid>
        <w:gridCol w:w="7"/>
        <w:gridCol w:w="7"/>
        <w:gridCol w:w="7"/>
        <w:gridCol w:w="7"/>
        <w:gridCol w:w="3618"/>
        <w:gridCol w:w="1394"/>
      </w:tblGrid>
      <w:tr w:rsidR="00023472" w:rsidRPr="00023472" w:rsidTr="00023472">
        <w:trPr>
          <w:trHeight w:val="195"/>
        </w:trPr>
        <w:tc>
          <w:tcPr>
            <w:tcW w:w="3990" w:type="dxa"/>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b/>
                <w:bCs/>
                <w:sz w:val="24"/>
                <w:szCs w:val="24"/>
              </w:rPr>
              <w:t>Euphoria 2011</w:t>
            </w:r>
          </w:p>
        </w:tc>
        <w:tc>
          <w:tcPr>
            <w:tcW w:w="1050" w:type="dxa"/>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Income/Expense Summary</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April through December 2011</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 - Dec '11</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Ordinary Income/Expense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Euphoria Sales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14,790.00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14,790.00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Cost of Goods Sold</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Euphoria Merchant Account Fees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472.77</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COGS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472.77</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Gross Profit</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14,317.23</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Euphoria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13,240.66</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13,240.66</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Net Ordinary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1,076.57</w:t>
            </w: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Net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1,076.57</w:t>
            </w:r>
          </w:p>
        </w:tc>
      </w:tr>
    </w:tbl>
    <w:p w:rsidR="00023472" w:rsidRPr="00023472" w:rsidRDefault="00023472" w:rsidP="00023472">
      <w:pPr>
        <w:spacing w:after="0" w:line="240" w:lineRule="auto"/>
        <w:rPr>
          <w:rFonts w:ascii="Arial" w:eastAsia="Times New Roman" w:hAnsi="Arial" w:cs="Arial"/>
          <w:color w:val="222222"/>
          <w:sz w:val="20"/>
          <w:szCs w:val="20"/>
        </w:rPr>
      </w:pPr>
    </w:p>
    <w:p w:rsidR="00023472" w:rsidRPr="00023472" w:rsidRDefault="00023472" w:rsidP="00023472">
      <w:pPr>
        <w:spacing w:after="0" w:line="240" w:lineRule="auto"/>
        <w:rPr>
          <w:rFonts w:ascii="Arial" w:eastAsia="Times New Roman" w:hAnsi="Arial" w:cs="Arial"/>
          <w:color w:val="222222"/>
          <w:sz w:val="20"/>
          <w:szCs w:val="20"/>
        </w:rPr>
      </w:pPr>
    </w:p>
    <w:tbl>
      <w:tblPr>
        <w:tblW w:w="5040" w:type="dxa"/>
        <w:tblCellMar>
          <w:left w:w="0" w:type="dxa"/>
          <w:right w:w="0" w:type="dxa"/>
        </w:tblCellMar>
        <w:tblLook w:val="04A0"/>
      </w:tblPr>
      <w:tblGrid>
        <w:gridCol w:w="7"/>
        <w:gridCol w:w="7"/>
        <w:gridCol w:w="7"/>
        <w:gridCol w:w="7"/>
        <w:gridCol w:w="3618"/>
        <w:gridCol w:w="1394"/>
      </w:tblGrid>
      <w:tr w:rsidR="00023472" w:rsidRPr="00023472" w:rsidTr="00023472">
        <w:trPr>
          <w:trHeight w:val="195"/>
        </w:trPr>
        <w:tc>
          <w:tcPr>
            <w:tcW w:w="3990" w:type="dxa"/>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b/>
                <w:bCs/>
                <w:sz w:val="24"/>
                <w:szCs w:val="24"/>
              </w:rPr>
              <w:t>Alchemy 2011</w:t>
            </w:r>
          </w:p>
        </w:tc>
        <w:tc>
          <w:tcPr>
            <w:tcW w:w="1050" w:type="dxa"/>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Income/Expense Summary</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April through December 2011</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 - Dec '11</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Ordinary Income/Expense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Alchemy Discounts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-15,000.00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Alchemy Sales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120,280.00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105,280.00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Cost of Goods Sold</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Alchemy Merchant Account Fees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3,093.28</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COGS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3,093.28</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Gross Profit</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102,186.72</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24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Alchemy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86,722.96</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86,722.96</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Net Ordinary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15,463.76</w:t>
            </w: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Net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15,463.76</w:t>
            </w:r>
          </w:p>
        </w:tc>
      </w:tr>
    </w:tbl>
    <w:p w:rsidR="00023472" w:rsidRPr="00023472" w:rsidRDefault="00023472" w:rsidP="00023472">
      <w:pPr>
        <w:spacing w:after="0" w:line="240" w:lineRule="auto"/>
        <w:rPr>
          <w:rFonts w:ascii="Arial" w:eastAsia="Times New Roman" w:hAnsi="Arial" w:cs="Arial"/>
          <w:color w:val="222222"/>
          <w:sz w:val="20"/>
          <w:szCs w:val="20"/>
        </w:rPr>
      </w:pPr>
    </w:p>
    <w:p w:rsidR="00023472" w:rsidRPr="00023472" w:rsidRDefault="00023472" w:rsidP="00023472">
      <w:pPr>
        <w:spacing w:after="0" w:line="240" w:lineRule="auto"/>
        <w:rPr>
          <w:rFonts w:ascii="Arial" w:eastAsia="Times New Roman" w:hAnsi="Arial" w:cs="Arial"/>
          <w:color w:val="222222"/>
          <w:sz w:val="20"/>
          <w:szCs w:val="20"/>
        </w:rPr>
      </w:pPr>
      <w:r w:rsidRPr="00023472">
        <w:rPr>
          <w:rFonts w:ascii="Arial" w:eastAsia="Times New Roman" w:hAnsi="Arial" w:cs="Arial"/>
          <w:color w:val="222222"/>
          <w:sz w:val="20"/>
          <w:szCs w:val="20"/>
        </w:rPr>
        <w:t xml:space="preserve">The "Alchemy </w:t>
      </w:r>
      <w:r>
        <w:rPr>
          <w:rFonts w:ascii="Arial" w:eastAsia="Times New Roman" w:hAnsi="Arial" w:cs="Arial"/>
          <w:color w:val="222222"/>
          <w:sz w:val="20"/>
          <w:szCs w:val="20"/>
        </w:rPr>
        <w:t>Discounts" line was an account</w:t>
      </w:r>
      <w:r w:rsidRPr="00023472">
        <w:rPr>
          <w:rFonts w:ascii="Arial" w:eastAsia="Times New Roman" w:hAnsi="Arial" w:cs="Arial"/>
          <w:color w:val="222222"/>
          <w:sz w:val="20"/>
          <w:szCs w:val="20"/>
        </w:rPr>
        <w:t xml:space="preserve"> created so that we could measure the sales discounts that we offered on Tier 1. Lowering the price in our accounting system implies that we think that the item is worth less. Instead, we can show the discount we provided used to offset the value of the sale. The net cash is the same, of course -- what we actually got from the participant</w:t>
      </w:r>
      <w:r>
        <w:rPr>
          <w:rFonts w:ascii="Arial" w:eastAsia="Times New Roman" w:hAnsi="Arial" w:cs="Arial"/>
          <w:color w:val="222222"/>
          <w:sz w:val="20"/>
          <w:szCs w:val="20"/>
        </w:rPr>
        <w:t>s</w:t>
      </w:r>
      <w:r w:rsidRPr="00023472">
        <w:rPr>
          <w:rFonts w:ascii="Arial" w:eastAsia="Times New Roman" w:hAnsi="Arial" w:cs="Arial"/>
          <w:color w:val="222222"/>
          <w:sz w:val="20"/>
          <w:szCs w:val="20"/>
        </w:rPr>
        <w:t>.</w:t>
      </w:r>
    </w:p>
    <w:p w:rsidR="00023472" w:rsidRPr="00023472" w:rsidRDefault="00023472" w:rsidP="00023472">
      <w:pPr>
        <w:spacing w:after="0" w:line="240" w:lineRule="auto"/>
        <w:rPr>
          <w:rFonts w:ascii="Arial" w:eastAsia="Times New Roman" w:hAnsi="Arial" w:cs="Arial"/>
          <w:color w:val="222222"/>
          <w:sz w:val="20"/>
          <w:szCs w:val="20"/>
        </w:rPr>
      </w:pPr>
    </w:p>
    <w:tbl>
      <w:tblPr>
        <w:tblW w:w="5040" w:type="dxa"/>
        <w:tblCellMar>
          <w:left w:w="0" w:type="dxa"/>
          <w:right w:w="0" w:type="dxa"/>
        </w:tblCellMar>
        <w:tblLook w:val="04A0"/>
      </w:tblPr>
      <w:tblGrid>
        <w:gridCol w:w="6"/>
        <w:gridCol w:w="7"/>
        <w:gridCol w:w="7"/>
        <w:gridCol w:w="7"/>
        <w:gridCol w:w="3619"/>
        <w:gridCol w:w="1394"/>
      </w:tblGrid>
      <w:tr w:rsidR="00023472" w:rsidRPr="00023472" w:rsidTr="00023472">
        <w:trPr>
          <w:trHeight w:val="195"/>
        </w:trPr>
        <w:tc>
          <w:tcPr>
            <w:tcW w:w="3990" w:type="dxa"/>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b/>
                <w:bCs/>
                <w:sz w:val="24"/>
                <w:szCs w:val="24"/>
              </w:rPr>
              <w:t>Decompression 2011</w:t>
            </w:r>
          </w:p>
        </w:tc>
        <w:tc>
          <w:tcPr>
            <w:tcW w:w="1050" w:type="dxa"/>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Income/Expense Summary</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April through December 2011</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Apr - Dec '11</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Ordinary Income/Expense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Income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Decompression Sales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4,080.00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4,080.00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Cost of Goods Sold</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 xml:space="preserve">Decompression </w:t>
            </w:r>
            <w:proofErr w:type="spellStart"/>
            <w:r w:rsidRPr="00023472">
              <w:rPr>
                <w:rFonts w:ascii="Arial" w:eastAsia="Times New Roman" w:hAnsi="Arial" w:cs="Arial"/>
                <w:sz w:val="24"/>
                <w:szCs w:val="24"/>
              </w:rPr>
              <w:t>Merch</w:t>
            </w:r>
            <w:proofErr w:type="spellEnd"/>
            <w:r w:rsidRPr="00023472">
              <w:rPr>
                <w:rFonts w:ascii="Arial" w:eastAsia="Times New Roman" w:hAnsi="Arial" w:cs="Arial"/>
                <w:sz w:val="24"/>
                <w:szCs w:val="24"/>
              </w:rPr>
              <w:t xml:space="preserve"> Acct Fees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168.09</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COGS</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168.09</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Gross Profit</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rPr>
              <w:t>3,911.91</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Expense</w:t>
            </w: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2"/>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Decompression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1,390.00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3"/>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t>Total Expense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1,390.00</w:t>
            </w:r>
          </w:p>
        </w:tc>
      </w:tr>
      <w:tr w:rsidR="00023472" w:rsidRPr="00023472" w:rsidTr="00023472">
        <w:trPr>
          <w:trHeight w:val="195"/>
        </w:trPr>
        <w:tc>
          <w:tcPr>
            <w:tcW w:w="0" w:type="auto"/>
            <w:vAlign w:val="center"/>
            <w:hideMark/>
          </w:tcPr>
          <w:p w:rsidR="00023472" w:rsidRPr="00023472" w:rsidRDefault="00023472" w:rsidP="00023472">
            <w:pPr>
              <w:spacing w:after="0" w:line="240" w:lineRule="auto"/>
              <w:rPr>
                <w:rFonts w:ascii="Arial" w:eastAsia="Times New Roman" w:hAnsi="Arial" w:cs="Arial"/>
                <w:sz w:val="20"/>
                <w:szCs w:val="24"/>
              </w:rPr>
            </w:pPr>
          </w:p>
        </w:tc>
        <w:tc>
          <w:tcPr>
            <w:tcW w:w="0" w:type="auto"/>
            <w:gridSpan w:val="4"/>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Net Ordinary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2,521.91</w:t>
            </w:r>
          </w:p>
        </w:tc>
      </w:tr>
      <w:tr w:rsidR="00023472" w:rsidRPr="00023472" w:rsidTr="00023472">
        <w:trPr>
          <w:trHeight w:val="195"/>
        </w:trPr>
        <w:tc>
          <w:tcPr>
            <w:tcW w:w="0" w:type="auto"/>
            <w:gridSpan w:val="5"/>
            <w:vAlign w:val="center"/>
            <w:hideMark/>
          </w:tcPr>
          <w:p w:rsidR="00023472" w:rsidRPr="00023472" w:rsidRDefault="00023472" w:rsidP="00023472">
            <w:pPr>
              <w:spacing w:after="0" w:line="195" w:lineRule="atLeast"/>
              <w:rPr>
                <w:rFonts w:ascii="Arial" w:eastAsia="Times New Roman" w:hAnsi="Arial" w:cs="Arial"/>
                <w:sz w:val="24"/>
                <w:szCs w:val="24"/>
              </w:rPr>
            </w:pPr>
            <w:r w:rsidRPr="00023472">
              <w:rPr>
                <w:rFonts w:ascii="Arial" w:eastAsia="Times New Roman" w:hAnsi="Arial" w:cs="Arial"/>
                <w:sz w:val="24"/>
                <w:szCs w:val="24"/>
              </w:rPr>
              <w:br/>
              <w:t>Net Income</w:t>
            </w:r>
          </w:p>
        </w:tc>
        <w:tc>
          <w:tcPr>
            <w:tcW w:w="0" w:type="auto"/>
            <w:vAlign w:val="center"/>
            <w:hideMark/>
          </w:tcPr>
          <w:p w:rsidR="00023472" w:rsidRPr="00023472" w:rsidRDefault="00023472" w:rsidP="00023472">
            <w:pPr>
              <w:spacing w:after="0" w:line="195" w:lineRule="atLeast"/>
              <w:jc w:val="right"/>
              <w:rPr>
                <w:rFonts w:ascii="Arial" w:eastAsia="Times New Roman" w:hAnsi="Arial" w:cs="Arial"/>
                <w:sz w:val="24"/>
                <w:szCs w:val="24"/>
              </w:rPr>
            </w:pPr>
            <w:r w:rsidRPr="00023472">
              <w:rPr>
                <w:rFonts w:ascii="Arial" w:eastAsia="Times New Roman" w:hAnsi="Arial" w:cs="Arial"/>
                <w:sz w:val="24"/>
                <w:szCs w:val="24"/>
                <w:u w:val="single"/>
              </w:rPr>
              <w:t>2,521.91</w:t>
            </w:r>
          </w:p>
        </w:tc>
      </w:tr>
    </w:tbl>
    <w:p w:rsidR="002148F7" w:rsidRDefault="00023472"/>
    <w:sectPr w:rsidR="002148F7" w:rsidSect="00FD31B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472"/>
    <w:rsid w:val="00023472"/>
    <w:rsid w:val="000D7599"/>
    <w:rsid w:val="00CA3D44"/>
    <w:rsid w:val="00FD31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31B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21552062">
      <w:bodyDiv w:val="1"/>
      <w:marLeft w:val="0"/>
      <w:marRight w:val="0"/>
      <w:marTop w:val="0"/>
      <w:marBottom w:val="0"/>
      <w:divBdr>
        <w:top w:val="none" w:sz="0" w:space="0" w:color="auto"/>
        <w:left w:val="none" w:sz="0" w:space="0" w:color="auto"/>
        <w:bottom w:val="none" w:sz="0" w:space="0" w:color="auto"/>
        <w:right w:val="none" w:sz="0" w:space="0" w:color="auto"/>
      </w:divBdr>
      <w:divsChild>
        <w:div w:id="815057">
          <w:marLeft w:val="0"/>
          <w:marRight w:val="0"/>
          <w:marTop w:val="0"/>
          <w:marBottom w:val="0"/>
          <w:divBdr>
            <w:top w:val="none" w:sz="0" w:space="0" w:color="auto"/>
            <w:left w:val="none" w:sz="0" w:space="0" w:color="auto"/>
            <w:bottom w:val="none" w:sz="0" w:space="0" w:color="auto"/>
            <w:right w:val="none" w:sz="0" w:space="0" w:color="auto"/>
          </w:divBdr>
          <w:divsChild>
            <w:div w:id="1824276056">
              <w:marLeft w:val="0"/>
              <w:marRight w:val="0"/>
              <w:marTop w:val="0"/>
              <w:marBottom w:val="0"/>
              <w:divBdr>
                <w:top w:val="none" w:sz="0" w:space="0" w:color="auto"/>
                <w:left w:val="none" w:sz="0" w:space="0" w:color="auto"/>
                <w:bottom w:val="none" w:sz="0" w:space="0" w:color="auto"/>
                <w:right w:val="none" w:sz="0" w:space="0" w:color="auto"/>
              </w:divBdr>
            </w:div>
            <w:div w:id="552229244">
              <w:marLeft w:val="0"/>
              <w:marRight w:val="0"/>
              <w:marTop w:val="0"/>
              <w:marBottom w:val="0"/>
              <w:divBdr>
                <w:top w:val="none" w:sz="0" w:space="0" w:color="auto"/>
                <w:left w:val="none" w:sz="0" w:space="0" w:color="auto"/>
                <w:bottom w:val="none" w:sz="0" w:space="0" w:color="auto"/>
                <w:right w:val="none" w:sz="0" w:space="0" w:color="auto"/>
              </w:divBdr>
              <w:divsChild>
                <w:div w:id="1488011786">
                  <w:marLeft w:val="0"/>
                  <w:marRight w:val="0"/>
                  <w:marTop w:val="0"/>
                  <w:marBottom w:val="0"/>
                  <w:divBdr>
                    <w:top w:val="none" w:sz="0" w:space="0" w:color="auto"/>
                    <w:left w:val="none" w:sz="0" w:space="0" w:color="auto"/>
                    <w:bottom w:val="none" w:sz="0" w:space="0" w:color="auto"/>
                    <w:right w:val="none" w:sz="0" w:space="0" w:color="auto"/>
                  </w:divBdr>
                </w:div>
                <w:div w:id="300381478">
                  <w:marLeft w:val="0"/>
                  <w:marRight w:val="0"/>
                  <w:marTop w:val="0"/>
                  <w:marBottom w:val="0"/>
                  <w:divBdr>
                    <w:top w:val="none" w:sz="0" w:space="0" w:color="auto"/>
                    <w:left w:val="none" w:sz="0" w:space="0" w:color="auto"/>
                    <w:bottom w:val="none" w:sz="0" w:space="0" w:color="auto"/>
                    <w:right w:val="none" w:sz="0" w:space="0" w:color="auto"/>
                  </w:divBdr>
                </w:div>
                <w:div w:id="1684867060">
                  <w:marLeft w:val="0"/>
                  <w:marRight w:val="0"/>
                  <w:marTop w:val="0"/>
                  <w:marBottom w:val="0"/>
                  <w:divBdr>
                    <w:top w:val="none" w:sz="0" w:space="0" w:color="auto"/>
                    <w:left w:val="none" w:sz="0" w:space="0" w:color="auto"/>
                    <w:bottom w:val="none" w:sz="0" w:space="0" w:color="auto"/>
                    <w:right w:val="none" w:sz="0" w:space="0" w:color="auto"/>
                  </w:divBdr>
                </w:div>
                <w:div w:id="456877539">
                  <w:marLeft w:val="0"/>
                  <w:marRight w:val="0"/>
                  <w:marTop w:val="0"/>
                  <w:marBottom w:val="0"/>
                  <w:divBdr>
                    <w:top w:val="none" w:sz="0" w:space="0" w:color="auto"/>
                    <w:left w:val="none" w:sz="0" w:space="0" w:color="auto"/>
                    <w:bottom w:val="none" w:sz="0" w:space="0" w:color="auto"/>
                    <w:right w:val="none" w:sz="0" w:space="0" w:color="auto"/>
                  </w:divBdr>
                </w:div>
                <w:div w:id="1574197150">
                  <w:marLeft w:val="0"/>
                  <w:marRight w:val="0"/>
                  <w:marTop w:val="0"/>
                  <w:marBottom w:val="0"/>
                  <w:divBdr>
                    <w:top w:val="none" w:sz="0" w:space="0" w:color="auto"/>
                    <w:left w:val="none" w:sz="0" w:space="0" w:color="auto"/>
                    <w:bottom w:val="none" w:sz="0" w:space="0" w:color="auto"/>
                    <w:right w:val="none" w:sz="0" w:space="0" w:color="auto"/>
                  </w:divBdr>
                </w:div>
                <w:div w:id="1476333778">
                  <w:marLeft w:val="0"/>
                  <w:marRight w:val="0"/>
                  <w:marTop w:val="0"/>
                  <w:marBottom w:val="0"/>
                  <w:divBdr>
                    <w:top w:val="none" w:sz="0" w:space="0" w:color="auto"/>
                    <w:left w:val="none" w:sz="0" w:space="0" w:color="auto"/>
                    <w:bottom w:val="none" w:sz="0" w:space="0" w:color="auto"/>
                    <w:right w:val="none" w:sz="0" w:space="0" w:color="auto"/>
                  </w:divBdr>
                </w:div>
                <w:div w:id="1493176698">
                  <w:marLeft w:val="0"/>
                  <w:marRight w:val="0"/>
                  <w:marTop w:val="0"/>
                  <w:marBottom w:val="0"/>
                  <w:divBdr>
                    <w:top w:val="none" w:sz="0" w:space="0" w:color="auto"/>
                    <w:left w:val="none" w:sz="0" w:space="0" w:color="auto"/>
                    <w:bottom w:val="none" w:sz="0" w:space="0" w:color="auto"/>
                    <w:right w:val="none" w:sz="0" w:space="0" w:color="auto"/>
                  </w:divBdr>
                </w:div>
                <w:div w:id="77486880">
                  <w:marLeft w:val="0"/>
                  <w:marRight w:val="0"/>
                  <w:marTop w:val="0"/>
                  <w:marBottom w:val="0"/>
                  <w:divBdr>
                    <w:top w:val="none" w:sz="0" w:space="0" w:color="auto"/>
                    <w:left w:val="none" w:sz="0" w:space="0" w:color="auto"/>
                    <w:bottom w:val="none" w:sz="0" w:space="0" w:color="auto"/>
                    <w:right w:val="none" w:sz="0" w:space="0" w:color="auto"/>
                  </w:divBdr>
                </w:div>
                <w:div w:id="2041978322">
                  <w:marLeft w:val="0"/>
                  <w:marRight w:val="0"/>
                  <w:marTop w:val="0"/>
                  <w:marBottom w:val="0"/>
                  <w:divBdr>
                    <w:top w:val="none" w:sz="0" w:space="0" w:color="auto"/>
                    <w:left w:val="none" w:sz="0" w:space="0" w:color="auto"/>
                    <w:bottom w:val="none" w:sz="0" w:space="0" w:color="auto"/>
                    <w:right w:val="none" w:sz="0" w:space="0" w:color="auto"/>
                  </w:divBdr>
                  <w:divsChild>
                    <w:div w:id="69813753">
                      <w:marLeft w:val="0"/>
                      <w:marRight w:val="0"/>
                      <w:marTop w:val="0"/>
                      <w:marBottom w:val="0"/>
                      <w:divBdr>
                        <w:top w:val="none" w:sz="0" w:space="0" w:color="auto"/>
                        <w:left w:val="none" w:sz="0" w:space="0" w:color="auto"/>
                        <w:bottom w:val="none" w:sz="0" w:space="0" w:color="auto"/>
                        <w:right w:val="none" w:sz="0" w:space="0" w:color="auto"/>
                      </w:divBdr>
                    </w:div>
                    <w:div w:id="61218497">
                      <w:marLeft w:val="0"/>
                      <w:marRight w:val="0"/>
                      <w:marTop w:val="0"/>
                      <w:marBottom w:val="0"/>
                      <w:divBdr>
                        <w:top w:val="none" w:sz="0" w:space="0" w:color="auto"/>
                        <w:left w:val="none" w:sz="0" w:space="0" w:color="auto"/>
                        <w:bottom w:val="none" w:sz="0" w:space="0" w:color="auto"/>
                        <w:right w:val="none" w:sz="0" w:space="0" w:color="auto"/>
                      </w:divBdr>
                    </w:div>
                    <w:div w:id="1870412465">
                      <w:marLeft w:val="0"/>
                      <w:marRight w:val="0"/>
                      <w:marTop w:val="0"/>
                      <w:marBottom w:val="0"/>
                      <w:divBdr>
                        <w:top w:val="none" w:sz="0" w:space="0" w:color="auto"/>
                        <w:left w:val="none" w:sz="0" w:space="0" w:color="auto"/>
                        <w:bottom w:val="none" w:sz="0" w:space="0" w:color="auto"/>
                        <w:right w:val="none" w:sz="0" w:space="0" w:color="auto"/>
                      </w:divBdr>
                    </w:div>
                    <w:div w:id="6977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306</Words>
  <Characters>1746</Characters>
  <Application>Microsoft Office Word</Application>
  <DocSecurity>0</DocSecurity>
  <Lines>14</Lines>
  <Paragraphs>4</Paragraphs>
  <ScaleCrop>false</ScaleCrop>
  <Company/>
  <LinksUpToDate>false</LinksUpToDate>
  <CharactersWithSpaces>2048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Tonian</dc:creator>
  <cp:lastModifiedBy>Tonian</cp:lastModifiedBy>
  <cp:revision>1</cp:revision>
  <dcterms:created xsi:type="dcterms:W3CDTF">2012-05-22T00:53:00Z</dcterms:created>
  <dcterms:modified xsi:type="dcterms:W3CDTF">2012-05-22T00:55:00Z</dcterms:modified>
</cp:coreProperties>
</file>